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01F1" w:rsidR="005D2511" w:rsidP="005D2511" w:rsidRDefault="005D2511" w14:paraId="062864B8" w14:textId="77777777">
      <w:pPr>
        <w:spacing w:line="240" w:lineRule="auto"/>
        <w:rPr>
          <w:sz w:val="20"/>
        </w:rPr>
      </w:pPr>
      <w:r w:rsidRPr="00675B9A">
        <w:rPr>
          <w:b/>
        </w:rPr>
        <w:t>Bijlage Onderbouwing en Evaluatie (CW</w:t>
      </w:r>
      <w:r>
        <w:rPr>
          <w:b/>
        </w:rPr>
        <w:t xml:space="preserve"> </w:t>
      </w:r>
      <w:r w:rsidRPr="00675B9A">
        <w:rPr>
          <w:b/>
        </w:rPr>
        <w:t>3.1)</w:t>
      </w:r>
    </w:p>
    <w:p w:rsidR="005D2511" w:rsidP="005D2511" w:rsidRDefault="005D2511" w14:paraId="4B51DEEA" w14:textId="77777777"/>
    <w:p w:rsidRPr="00253C00" w:rsidR="005D2511" w:rsidP="005D2511" w:rsidRDefault="005D2511" w14:paraId="1EE194BF" w14:textId="77777777"/>
    <w:tbl>
      <w:tblPr>
        <w:tblStyle w:val="Rastertabel5donker-Accent11"/>
        <w:tblW w:w="5223" w:type="pct"/>
        <w:tblInd w:w="-200" w:type="dxa"/>
        <w:tblLook w:val="04A0" w:firstRow="1" w:lastRow="0" w:firstColumn="1" w:lastColumn="0" w:noHBand="0" w:noVBand="1"/>
      </w:tblPr>
      <w:tblGrid>
        <w:gridCol w:w="2497"/>
        <w:gridCol w:w="5327"/>
      </w:tblGrid>
      <w:tr w:rsidR="005D2511" w:rsidTr="00110A23" w14:paraId="6419E261" w14:textId="77777777">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326" w:type="pct"/>
            <w:vAlign w:val="center"/>
          </w:tcPr>
          <w:p w:rsidRPr="00C95AC9" w:rsidR="005D2511" w:rsidP="00110A23" w:rsidRDefault="005D2511" w14:paraId="4F141FC7" w14:textId="77777777">
            <w:pPr>
              <w:rPr>
                <w:b w:val="0"/>
              </w:rPr>
            </w:pPr>
            <w:proofErr w:type="spellStart"/>
            <w:r w:rsidRPr="00C95AC9">
              <w:t>Onderdeel</w:t>
            </w:r>
            <w:proofErr w:type="spellEnd"/>
          </w:p>
        </w:tc>
        <w:tc>
          <w:tcPr>
            <w:tcW w:w="3674" w:type="pct"/>
            <w:vAlign w:val="center"/>
          </w:tcPr>
          <w:p w:rsidRPr="00C95AC9" w:rsidR="005D2511" w:rsidP="00110A23" w:rsidRDefault="005D2511" w14:paraId="5213FE91" w14:textId="77777777">
            <w:pPr>
              <w:cnfStyle w:val="100000000000" w:firstRow="1" w:lastRow="0" w:firstColumn="0" w:lastColumn="0" w:oddVBand="0" w:evenVBand="0" w:oddHBand="0" w:evenHBand="0" w:firstRowFirstColumn="0" w:firstRowLastColumn="0" w:lastRowFirstColumn="0" w:lastRowLastColumn="0"/>
              <w:rPr>
                <w:b w:val="0"/>
              </w:rPr>
            </w:pPr>
            <w:proofErr w:type="spellStart"/>
            <w:r w:rsidRPr="00C95AC9">
              <w:t>Toelichting</w:t>
            </w:r>
            <w:proofErr w:type="spellEnd"/>
          </w:p>
        </w:tc>
      </w:tr>
      <w:tr w:rsidR="005D2511" w:rsidTr="00110A23" w14:paraId="416DA262" w14:textId="77777777">
        <w:trPr>
          <w:cnfStyle w:val="000000100000" w:firstRow="0" w:lastRow="0" w:firstColumn="0" w:lastColumn="0" w:oddVBand="0" w:evenVBand="0" w:oddHBand="1" w:evenHBand="0" w:firstRowFirstColumn="0" w:firstRowLastColumn="0" w:lastRowFirstColumn="0" w:lastRowLastColumn="0"/>
          <w:trHeight w:val="1504"/>
        </w:trPr>
        <w:tc>
          <w:tcPr>
            <w:cnfStyle w:val="001000000000" w:firstRow="0" w:lastRow="0" w:firstColumn="1" w:lastColumn="0" w:oddVBand="0" w:evenVBand="0" w:oddHBand="0" w:evenHBand="0" w:firstRowFirstColumn="0" w:firstRowLastColumn="0" w:lastRowFirstColumn="0" w:lastRowLastColumn="0"/>
            <w:tcW w:w="1326" w:type="pct"/>
            <w:vAlign w:val="center"/>
          </w:tcPr>
          <w:p w:rsidRPr="00C95AC9" w:rsidR="005D2511" w:rsidP="00110A23" w:rsidRDefault="00E21FFB" w14:paraId="500E9E0C" w14:textId="40D01A26">
            <w:r>
              <w:t xml:space="preserve">1. </w:t>
            </w:r>
            <w:proofErr w:type="spellStart"/>
            <w:r w:rsidRPr="00C95AC9" w:rsidR="005D2511">
              <w:t>Nagestreefde</w:t>
            </w:r>
            <w:proofErr w:type="spellEnd"/>
            <w:r w:rsidRPr="00C95AC9" w:rsidR="005D2511">
              <w:t xml:space="preserve"> </w:t>
            </w:r>
            <w:proofErr w:type="spellStart"/>
            <w:r w:rsidRPr="00C95AC9" w:rsidR="005D2511">
              <w:t>doelen</w:t>
            </w:r>
            <w:proofErr w:type="spellEnd"/>
          </w:p>
        </w:tc>
        <w:tc>
          <w:tcPr>
            <w:tcW w:w="3674" w:type="pct"/>
            <w:shd w:val="clear" w:color="auto" w:fill="DBE5F1" w:themeFill="accent1" w:themeFillTint="33"/>
          </w:tcPr>
          <w:p w:rsidR="00B76E64" w:rsidP="00301819" w:rsidRDefault="00B76E64" w14:paraId="33EA5A04"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Nagestreefde doel is om de tekorten aan personeel (leraren, schoolleiders en in soms ook ondersteunend personeel) aan te pakken. </w:t>
            </w:r>
          </w:p>
          <w:p w:rsidR="00B76E64" w:rsidP="00301819" w:rsidRDefault="00B76E64" w14:paraId="573A6885" w14:textId="77777777">
            <w:pPr>
              <w:cnfStyle w:val="000000100000" w:firstRow="0" w:lastRow="0" w:firstColumn="0" w:lastColumn="0" w:oddVBand="0" w:evenVBand="0" w:oddHBand="1" w:evenHBand="0" w:firstRowFirstColumn="0" w:firstRowLastColumn="0" w:lastRowFirstColumn="0" w:lastRowLastColumn="0"/>
              <w:rPr>
                <w:lang w:val="nl-NL"/>
              </w:rPr>
            </w:pPr>
          </w:p>
          <w:p w:rsidR="005D2511" w:rsidP="00B76E64" w:rsidRDefault="00B76E64" w14:paraId="70B924F2" w14:textId="6CFF5E73">
            <w:pPr>
              <w:cnfStyle w:val="000000100000" w:firstRow="0" w:lastRow="0" w:firstColumn="0" w:lastColumn="0" w:oddVBand="0" w:evenVBand="0" w:oddHBand="1" w:evenHBand="0" w:firstRowFirstColumn="0" w:firstRowLastColumn="0" w:lastRowFirstColumn="0" w:lastRowLastColumn="0"/>
              <w:rPr>
                <w:lang w:val="nl-NL"/>
              </w:rPr>
            </w:pPr>
            <w:r>
              <w:rPr>
                <w:lang w:val="nl-NL"/>
              </w:rPr>
              <w:t>Kern van de aanpak om dit te berei</w:t>
            </w:r>
            <w:r w:rsidR="00556AE0">
              <w:rPr>
                <w:lang w:val="nl-NL"/>
              </w:rPr>
              <w:t>k</w:t>
            </w:r>
            <w:r>
              <w:rPr>
                <w:lang w:val="nl-NL"/>
              </w:rPr>
              <w:t>en is</w:t>
            </w:r>
            <w:r w:rsidRPr="00B76E64">
              <w:rPr>
                <w:lang w:val="nl-NL"/>
              </w:rPr>
              <w:t xml:space="preserve"> </w:t>
            </w:r>
            <w:r w:rsidR="009E1444">
              <w:rPr>
                <w:lang w:val="nl-NL"/>
              </w:rPr>
              <w:t xml:space="preserve">1) </w:t>
            </w:r>
            <w:r>
              <w:rPr>
                <w:lang w:val="nl-NL"/>
              </w:rPr>
              <w:t>meer st</w:t>
            </w:r>
            <w:r w:rsidRPr="00B76E64">
              <w:rPr>
                <w:lang w:val="nl-NL"/>
              </w:rPr>
              <w:t xml:space="preserve">uring vanuit de landelijke overheid, aan de hand van een concreet werkplan, met doelen en mijlpalen. Er wordt </w:t>
            </w:r>
            <w:r w:rsidR="009E1444">
              <w:rPr>
                <w:lang w:val="nl-NL"/>
              </w:rPr>
              <w:t xml:space="preserve">2) </w:t>
            </w:r>
            <w:r w:rsidRPr="00B76E64">
              <w:rPr>
                <w:lang w:val="nl-NL"/>
              </w:rPr>
              <w:t>een programmabureau</w:t>
            </w:r>
            <w:r w:rsidR="009E1444">
              <w:rPr>
                <w:lang w:val="nl-NL"/>
              </w:rPr>
              <w:t xml:space="preserve"> ingericht</w:t>
            </w:r>
            <w:r w:rsidRPr="00B76E64">
              <w:rPr>
                <w:lang w:val="nl-NL"/>
              </w:rPr>
              <w:t xml:space="preserve"> om de (regionale) aanpak in te veld te versnellen. Daarnaast wordt </w:t>
            </w:r>
            <w:r w:rsidR="009E1444">
              <w:rPr>
                <w:lang w:val="nl-NL"/>
              </w:rPr>
              <w:t xml:space="preserve">3) </w:t>
            </w:r>
            <w:r w:rsidRPr="00B76E64">
              <w:rPr>
                <w:lang w:val="nl-NL"/>
              </w:rPr>
              <w:t>een aantal succesvolle maatregelen geïntensiveerd (</w:t>
            </w:r>
            <w:proofErr w:type="spellStart"/>
            <w:r w:rsidRPr="00B76E64">
              <w:rPr>
                <w:lang w:val="nl-NL"/>
              </w:rPr>
              <w:t>zij-instroom</w:t>
            </w:r>
            <w:proofErr w:type="spellEnd"/>
            <w:r w:rsidRPr="00B76E64">
              <w:rPr>
                <w:lang w:val="nl-NL"/>
              </w:rPr>
              <w:t xml:space="preserve"> en het opleiden van assistenten tot leraar), worden nieuwe maatregelen ingezet (</w:t>
            </w:r>
            <w:proofErr w:type="spellStart"/>
            <w:r w:rsidRPr="00B76E64">
              <w:rPr>
                <w:lang w:val="nl-NL"/>
              </w:rPr>
              <w:t>zij-instroom</w:t>
            </w:r>
            <w:proofErr w:type="spellEnd"/>
            <w:r w:rsidRPr="00B76E64">
              <w:rPr>
                <w:lang w:val="nl-NL"/>
              </w:rPr>
              <w:t xml:space="preserve"> voor schoolleiders en scholen van statushouders). </w:t>
            </w:r>
          </w:p>
          <w:p w:rsidR="009E1444" w:rsidP="00B76E64" w:rsidRDefault="009E1444" w14:paraId="3EB07F37" w14:textId="77777777">
            <w:pPr>
              <w:cnfStyle w:val="000000100000" w:firstRow="0" w:lastRow="0" w:firstColumn="0" w:lastColumn="0" w:oddVBand="0" w:evenVBand="0" w:oddHBand="1" w:evenHBand="0" w:firstRowFirstColumn="0" w:firstRowLastColumn="0" w:lastRowFirstColumn="0" w:lastRowLastColumn="0"/>
              <w:rPr>
                <w:lang w:val="nl-NL"/>
              </w:rPr>
            </w:pPr>
          </w:p>
          <w:p w:rsidR="009E1444" w:rsidP="00B76E64" w:rsidRDefault="009E1444" w14:paraId="6843EB4B" w14:textId="73FBA7C7">
            <w:pPr>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De aanpak is in aanvulling op en in lijn met de afspraken die zijn gemaakt met de onderwijspartners in het Onderwijsakkoord en de werkagenda. Afspraken gaan onder meer over de verhoging van het salaris in het po, de werkdruk in het vo, de arbeidsmarkttoelage en professionaliseren, allen in het akkoord. In de werkagenda zijn afspraken gemaakt over de versterking van de onderwijsarbeidsmarkt via onder meer het verbinden van bestaande samenwerkingen op de onderwijsarbeidsmarkt, het ontwikkelen van een beroepsbeeld </w:t>
            </w:r>
            <w:r w:rsidR="00585126">
              <w:rPr>
                <w:lang w:val="nl-NL"/>
              </w:rPr>
              <w:t xml:space="preserve">(over het beroep en de ontwikkelstappen voor leraren en op basis </w:t>
            </w:r>
            <w:r w:rsidR="00E92AE4">
              <w:rPr>
                <w:lang w:val="nl-NL"/>
              </w:rPr>
              <w:t>d</w:t>
            </w:r>
            <w:r w:rsidR="00585126">
              <w:rPr>
                <w:lang w:val="nl-NL"/>
              </w:rPr>
              <w:t xml:space="preserve">aarvan een raamplan voor de </w:t>
            </w:r>
            <w:r w:rsidR="00E92AE4">
              <w:rPr>
                <w:lang w:val="nl-NL"/>
              </w:rPr>
              <w:t>leraren</w:t>
            </w:r>
            <w:r w:rsidR="00585126">
              <w:rPr>
                <w:lang w:val="nl-NL"/>
              </w:rPr>
              <w:t>opleidingen), de inrichting van landelijke regie en over het optimaliseren van de bevoegdheden.</w:t>
            </w:r>
          </w:p>
          <w:p w:rsidR="00585126" w:rsidP="00B76E64" w:rsidRDefault="00585126" w14:paraId="34FF4125" w14:textId="77777777">
            <w:pPr>
              <w:cnfStyle w:val="000000100000" w:firstRow="0" w:lastRow="0" w:firstColumn="0" w:lastColumn="0" w:oddVBand="0" w:evenVBand="0" w:oddHBand="1" w:evenHBand="0" w:firstRowFirstColumn="0" w:firstRowLastColumn="0" w:lastRowFirstColumn="0" w:lastRowLastColumn="0"/>
              <w:rPr>
                <w:lang w:val="nl-NL"/>
              </w:rPr>
            </w:pPr>
          </w:p>
          <w:p w:rsidRPr="00B76E64" w:rsidR="00585126" w:rsidP="00B76E64" w:rsidRDefault="00585126" w14:paraId="6AD32635" w14:textId="6087CAB6">
            <w:pPr>
              <w:cnfStyle w:val="000000100000" w:firstRow="0" w:lastRow="0" w:firstColumn="0" w:lastColumn="0" w:oddVBand="0" w:evenVBand="0" w:oddHBand="1" w:evenHBand="0" w:firstRowFirstColumn="0" w:firstRowLastColumn="0" w:lastRowFirstColumn="0" w:lastRowLastColumn="0"/>
              <w:rPr>
                <w:lang w:val="nl-NL"/>
              </w:rPr>
            </w:pPr>
            <w:r>
              <w:rPr>
                <w:lang w:val="nl-NL"/>
              </w:rPr>
              <w:t>Daarnaast is de brief in lijn met en in aanvulling op de kabinetsbrede aanpak van krapte op de arbeidsmarkt.</w:t>
            </w:r>
          </w:p>
        </w:tc>
      </w:tr>
      <w:tr w:rsidR="005D2511" w:rsidTr="00110A23" w14:paraId="4B9B9540" w14:textId="77777777">
        <w:trPr>
          <w:trHeight w:val="1730"/>
        </w:trPr>
        <w:tc>
          <w:tcPr>
            <w:cnfStyle w:val="001000000000" w:firstRow="0" w:lastRow="0" w:firstColumn="1" w:lastColumn="0" w:oddVBand="0" w:evenVBand="0" w:oddHBand="0" w:evenHBand="0" w:firstRowFirstColumn="0" w:firstRowLastColumn="0" w:lastRowFirstColumn="0" w:lastRowLastColumn="0"/>
            <w:tcW w:w="1326" w:type="pct"/>
            <w:vAlign w:val="center"/>
          </w:tcPr>
          <w:p w:rsidRPr="00C95AC9" w:rsidR="005D2511" w:rsidP="00110A23" w:rsidRDefault="00E21FFB" w14:paraId="25FB6F6E" w14:textId="0F8AF4E4">
            <w:r>
              <w:t xml:space="preserve">2. </w:t>
            </w:r>
            <w:proofErr w:type="spellStart"/>
            <w:r w:rsidRPr="00C95AC9" w:rsidR="005D2511">
              <w:t>Ingezette</w:t>
            </w:r>
            <w:proofErr w:type="spellEnd"/>
            <w:r w:rsidRPr="00C95AC9" w:rsidR="005D2511">
              <w:t xml:space="preserve"> </w:t>
            </w:r>
            <w:proofErr w:type="spellStart"/>
            <w:r w:rsidRPr="00C95AC9" w:rsidR="005D2511">
              <w:t>beleidsinstrument</w:t>
            </w:r>
            <w:proofErr w:type="spellEnd"/>
            <w:r w:rsidRPr="00C95AC9" w:rsidR="005D2511">
              <w:t>(</w:t>
            </w:r>
            <w:proofErr w:type="spellStart"/>
            <w:r w:rsidRPr="00C95AC9" w:rsidR="005D2511">
              <w:t>en</w:t>
            </w:r>
            <w:proofErr w:type="spellEnd"/>
            <w:r w:rsidRPr="00C95AC9" w:rsidR="005D2511">
              <w:t>)</w:t>
            </w:r>
          </w:p>
        </w:tc>
        <w:tc>
          <w:tcPr>
            <w:tcW w:w="3674" w:type="pct"/>
          </w:tcPr>
          <w:p w:rsidR="001A77C9" w:rsidP="00301819" w:rsidRDefault="00585126" w14:paraId="39EEA308" w14:textId="4A66028B">
            <w:pPr>
              <w:cnfStyle w:val="000000000000" w:firstRow="0" w:lastRow="0" w:firstColumn="0" w:lastColumn="0" w:oddVBand="0" w:evenVBand="0" w:oddHBand="0" w:evenHBand="0" w:firstRowFirstColumn="0" w:firstRowLastColumn="0" w:lastRowFirstColumn="0" w:lastRowLastColumn="0"/>
              <w:rPr>
                <w:lang w:val="nl-NL"/>
              </w:rPr>
            </w:pPr>
            <w:r>
              <w:rPr>
                <w:lang w:val="nl-NL"/>
              </w:rPr>
              <w:t>Er wordt een mix aan instrumenten ingezet om de gestelde doelen te realiseren.</w:t>
            </w:r>
          </w:p>
          <w:p w:rsidR="002076FC" w:rsidP="00301819" w:rsidRDefault="002076FC" w14:paraId="467C6BC8" w14:textId="742858EC">
            <w:pPr>
              <w:cnfStyle w:val="000000000000" w:firstRow="0" w:lastRow="0" w:firstColumn="0" w:lastColumn="0" w:oddVBand="0" w:evenVBand="0" w:oddHBand="0" w:evenHBand="0" w:firstRowFirstColumn="0" w:firstRowLastColumn="0" w:lastRowFirstColumn="0" w:lastRowLastColumn="0"/>
              <w:rPr>
                <w:lang w:val="nl-NL"/>
              </w:rPr>
            </w:pPr>
          </w:p>
          <w:p w:rsidR="002076FC" w:rsidP="00301819" w:rsidRDefault="002076FC" w14:paraId="452F4073" w14:textId="77777777">
            <w:pPr>
              <w:cnfStyle w:val="000000000000" w:firstRow="0" w:lastRow="0" w:firstColumn="0" w:lastColumn="0" w:oddVBand="0" w:evenVBand="0" w:oddHBand="0" w:evenHBand="0" w:firstRowFirstColumn="0" w:firstRowLastColumn="0" w:lastRowFirstColumn="0" w:lastRowLastColumn="0"/>
              <w:rPr>
                <w:lang w:val="nl-NL"/>
              </w:rPr>
            </w:pPr>
            <w:r>
              <w:rPr>
                <w:lang w:val="nl-NL"/>
              </w:rPr>
              <w:t>De landelijke strategie wordt ingezet om de aanpak te intensiveren en meer sturing te geven. Dat is nodig gezien de complexiteit en urgentie van het vraagstuk. Dit sluit aan bij de vraag om meer sturing vanuit de overheid door het onderwijsveld en de Tweede Kamer en bij de resultaten van de beleidsdoorlichting lerarenbeleid 2013-2020.</w:t>
            </w:r>
          </w:p>
          <w:p w:rsidR="002076FC" w:rsidP="00301819" w:rsidRDefault="002076FC" w14:paraId="51295EF4" w14:textId="77777777">
            <w:pPr>
              <w:cnfStyle w:val="000000000000" w:firstRow="0" w:lastRow="0" w:firstColumn="0" w:lastColumn="0" w:oddVBand="0" w:evenVBand="0" w:oddHBand="0" w:evenHBand="0" w:firstRowFirstColumn="0" w:firstRowLastColumn="0" w:lastRowFirstColumn="0" w:lastRowLastColumn="0"/>
              <w:rPr>
                <w:lang w:val="nl-NL"/>
              </w:rPr>
            </w:pPr>
          </w:p>
          <w:p w:rsidR="00C92457" w:rsidP="00301819" w:rsidRDefault="00C92457" w14:paraId="59D1C37B" w14:textId="77777777">
            <w:pPr>
              <w:cnfStyle w:val="000000000000" w:firstRow="0" w:lastRow="0" w:firstColumn="0" w:lastColumn="0" w:oddVBand="0" w:evenVBand="0" w:oddHBand="0" w:evenHBand="0" w:firstRowFirstColumn="0" w:firstRowLastColumn="0" w:lastRowFirstColumn="0" w:lastRowLastColumn="0"/>
              <w:rPr>
                <w:lang w:val="nl-NL"/>
              </w:rPr>
            </w:pPr>
            <w:r>
              <w:rPr>
                <w:lang w:val="nl-NL"/>
              </w:rPr>
              <w:t>Het programmabureau is onderdeel van de landelijke strategie, en is bedoeld om het onderwijsveld te stimuleren en ondersteunen bij de (regionale) aanpak van de tekorten.</w:t>
            </w:r>
          </w:p>
          <w:p w:rsidR="002076FC" w:rsidP="00301819" w:rsidRDefault="00C92457" w14:paraId="4AE83D5C" w14:textId="162417E7">
            <w:pPr>
              <w:cnfStyle w:val="000000000000" w:firstRow="0" w:lastRow="0" w:firstColumn="0" w:lastColumn="0" w:oddVBand="0" w:evenVBand="0" w:oddHBand="0" w:evenHBand="0" w:firstRowFirstColumn="0" w:firstRowLastColumn="0" w:lastRowFirstColumn="0" w:lastRowLastColumn="0"/>
              <w:rPr>
                <w:lang w:val="nl-NL"/>
              </w:rPr>
            </w:pPr>
            <w:r>
              <w:rPr>
                <w:lang w:val="nl-NL"/>
              </w:rPr>
              <w:lastRenderedPageBreak/>
              <w:t xml:space="preserve">Tot slot wordt een aantal goedlopende </w:t>
            </w:r>
            <w:r w:rsidR="00910216">
              <w:rPr>
                <w:lang w:val="nl-NL"/>
              </w:rPr>
              <w:t>subsidie</w:t>
            </w:r>
            <w:r>
              <w:rPr>
                <w:lang w:val="nl-NL"/>
              </w:rPr>
              <w:t>regelingen geïntensiveerd (</w:t>
            </w:r>
            <w:proofErr w:type="spellStart"/>
            <w:r>
              <w:rPr>
                <w:lang w:val="nl-NL"/>
              </w:rPr>
              <w:t>zij-instroom</w:t>
            </w:r>
            <w:proofErr w:type="spellEnd"/>
            <w:r>
              <w:rPr>
                <w:lang w:val="nl-NL"/>
              </w:rPr>
              <w:t xml:space="preserve"> in beroep en het opleiden van assistenten tot leraar) en een aantal nieuwe maatregelen geïnitieerd (programma voor statushouders met een bevoegdheid en</w:t>
            </w:r>
            <w:r w:rsidR="00910216">
              <w:rPr>
                <w:lang w:val="nl-NL"/>
              </w:rPr>
              <w:t xml:space="preserve"> een subsidieregeling</w:t>
            </w:r>
            <w:r>
              <w:rPr>
                <w:lang w:val="nl-NL"/>
              </w:rPr>
              <w:t xml:space="preserve"> </w:t>
            </w:r>
            <w:proofErr w:type="spellStart"/>
            <w:r>
              <w:rPr>
                <w:lang w:val="nl-NL"/>
              </w:rPr>
              <w:t>zij-instroom</w:t>
            </w:r>
            <w:proofErr w:type="spellEnd"/>
            <w:r>
              <w:rPr>
                <w:lang w:val="nl-NL"/>
              </w:rPr>
              <w:t xml:space="preserve"> voor schoolleiders in het po).   </w:t>
            </w:r>
            <w:r w:rsidR="002076FC">
              <w:rPr>
                <w:lang w:val="nl-NL"/>
              </w:rPr>
              <w:t xml:space="preserve"> </w:t>
            </w:r>
          </w:p>
          <w:p w:rsidRPr="00E21FFB" w:rsidR="002076FC" w:rsidP="00301819" w:rsidRDefault="002076FC" w14:paraId="44877C09" w14:textId="77777777">
            <w:pPr>
              <w:cnfStyle w:val="000000000000" w:firstRow="0" w:lastRow="0" w:firstColumn="0" w:lastColumn="0" w:oddVBand="0" w:evenVBand="0" w:oddHBand="0" w:evenHBand="0" w:firstRowFirstColumn="0" w:firstRowLastColumn="0" w:lastRowFirstColumn="0" w:lastRowLastColumn="0"/>
              <w:rPr>
                <w:lang w:val="nl-NL"/>
              </w:rPr>
            </w:pPr>
          </w:p>
          <w:p w:rsidRPr="00E21FFB" w:rsidR="005D2511" w:rsidP="00301819" w:rsidRDefault="005D2511" w14:paraId="12F13C1B" w14:textId="16ED9116">
            <w:pPr>
              <w:cnfStyle w:val="000000000000" w:firstRow="0" w:lastRow="0" w:firstColumn="0" w:lastColumn="0" w:oddVBand="0" w:evenVBand="0" w:oddHBand="0" w:evenHBand="0" w:firstRowFirstColumn="0" w:firstRowLastColumn="0" w:lastRowFirstColumn="0" w:lastRowLastColumn="0"/>
              <w:rPr>
                <w:lang w:val="nl-NL"/>
              </w:rPr>
            </w:pPr>
          </w:p>
        </w:tc>
      </w:tr>
      <w:tr w:rsidR="005D2511" w:rsidTr="00110A23" w14:paraId="44D8A6FE" w14:textId="77777777">
        <w:trPr>
          <w:cnfStyle w:val="000000100000" w:firstRow="0" w:lastRow="0" w:firstColumn="0" w:lastColumn="0" w:oddVBand="0" w:evenVBand="0" w:oddHBand="1" w:evenHBand="0" w:firstRowFirstColumn="0" w:firstRowLastColumn="0" w:lastRowFirstColumn="0" w:lastRowLastColumn="0"/>
          <w:trHeight w:val="1396"/>
        </w:trPr>
        <w:tc>
          <w:tcPr>
            <w:cnfStyle w:val="001000000000" w:firstRow="0" w:lastRow="0" w:firstColumn="1" w:lastColumn="0" w:oddVBand="0" w:evenVBand="0" w:oddHBand="0" w:evenHBand="0" w:firstRowFirstColumn="0" w:firstRowLastColumn="0" w:lastRowFirstColumn="0" w:lastRowLastColumn="0"/>
            <w:tcW w:w="1326" w:type="pct"/>
            <w:vAlign w:val="center"/>
          </w:tcPr>
          <w:p w:rsidRPr="00E21FFB" w:rsidR="005D2511" w:rsidP="00110A23" w:rsidRDefault="00E21FFB" w14:paraId="2AB98FFE" w14:textId="5A2163B1">
            <w:pPr>
              <w:rPr>
                <w:lang w:val="nl-NL"/>
              </w:rPr>
            </w:pPr>
            <w:r>
              <w:rPr>
                <w:lang w:val="nl-NL"/>
              </w:rPr>
              <w:lastRenderedPageBreak/>
              <w:t>3a.</w:t>
            </w:r>
            <w:r w:rsidRPr="00E21FFB" w:rsidR="005D2511">
              <w:rPr>
                <w:lang w:val="nl-NL"/>
              </w:rPr>
              <w:t>Financiële gevolgen voor het Rijk</w:t>
            </w:r>
          </w:p>
        </w:tc>
        <w:tc>
          <w:tcPr>
            <w:tcW w:w="3674" w:type="pct"/>
            <w:shd w:val="clear" w:color="auto" w:fill="DBE5F1" w:themeFill="accent1" w:themeFillTint="33"/>
          </w:tcPr>
          <w:p w:rsidR="00556AE0" w:rsidP="00301819" w:rsidRDefault="00556AE0" w14:paraId="2A47C302" w14:textId="77777777">
            <w:pPr>
              <w:cnfStyle w:val="000000100000" w:firstRow="0" w:lastRow="0" w:firstColumn="0" w:lastColumn="0" w:oddVBand="0" w:evenVBand="0" w:oddHBand="1" w:evenHBand="0" w:firstRowFirstColumn="0" w:firstRowLastColumn="0" w:lastRowFirstColumn="0" w:lastRowLastColumn="0"/>
              <w:rPr>
                <w:lang w:val="nl-NL"/>
              </w:rPr>
            </w:pPr>
            <w:r w:rsidRPr="00556AE0">
              <w:rPr>
                <w:lang w:val="nl-NL"/>
              </w:rPr>
              <w:t>De huidige omvang van de financiële gevolgen bedraagt in 2022 € 1,125 mln., in 2023 € 20,325 mln., in 2025 € 21,6 mln. en in 2025 € 23,1 mln. De financiële gevolgen van de gehele brief worden gedekt binnen de begroting van het ministerie van OCW.</w:t>
            </w:r>
          </w:p>
          <w:p w:rsidRPr="00E21FFB" w:rsidR="00E24015" w:rsidP="00301819" w:rsidRDefault="00E24015" w14:paraId="2BD5D1A6" w14:textId="42BAED83">
            <w:pPr>
              <w:cnfStyle w:val="000000100000" w:firstRow="0" w:lastRow="0" w:firstColumn="0" w:lastColumn="0" w:oddVBand="0" w:evenVBand="0" w:oddHBand="1" w:evenHBand="0" w:firstRowFirstColumn="0" w:firstRowLastColumn="0" w:lastRowFirstColumn="0" w:lastRowLastColumn="0"/>
              <w:rPr>
                <w:lang w:val="nl-NL"/>
              </w:rPr>
            </w:pPr>
          </w:p>
        </w:tc>
      </w:tr>
      <w:tr w:rsidR="005D2511" w:rsidTr="00301819" w14:paraId="69E3C6EA" w14:textId="77777777">
        <w:trPr>
          <w:trHeight w:val="1545"/>
        </w:trPr>
        <w:tc>
          <w:tcPr>
            <w:cnfStyle w:val="001000000000" w:firstRow="0" w:lastRow="0" w:firstColumn="1" w:lastColumn="0" w:oddVBand="0" w:evenVBand="0" w:oddHBand="0" w:evenHBand="0" w:firstRowFirstColumn="0" w:firstRowLastColumn="0" w:lastRowFirstColumn="0" w:lastRowLastColumn="0"/>
            <w:tcW w:w="1326" w:type="pct"/>
            <w:vAlign w:val="center"/>
          </w:tcPr>
          <w:p w:rsidRPr="00E21FFB" w:rsidR="005D2511" w:rsidP="00110A23" w:rsidRDefault="00E21FFB" w14:paraId="468B485F" w14:textId="5277D3DF">
            <w:pPr>
              <w:rPr>
                <w:lang w:val="nl-NL"/>
              </w:rPr>
            </w:pPr>
            <w:r>
              <w:rPr>
                <w:lang w:val="nl-NL"/>
              </w:rPr>
              <w:t>3b.</w:t>
            </w:r>
            <w:r w:rsidRPr="00E21FFB" w:rsidR="005D2511">
              <w:rPr>
                <w:lang w:val="nl-NL"/>
              </w:rPr>
              <w:t>Financiële gevolgen voor maatschappelijke sectoren – als van toepassing</w:t>
            </w:r>
          </w:p>
        </w:tc>
        <w:tc>
          <w:tcPr>
            <w:tcW w:w="3674" w:type="pct"/>
          </w:tcPr>
          <w:p w:rsidRPr="00E21FFB" w:rsidR="005D2511" w:rsidP="00301819" w:rsidRDefault="00C92457" w14:paraId="68644624" w14:textId="6B43C360">
            <w:pPr>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De maatregelen geven een impuls aan de aanpak van de tekorten </w:t>
            </w:r>
            <w:r w:rsidR="00817E03">
              <w:rPr>
                <w:lang w:val="nl-NL"/>
              </w:rPr>
              <w:t xml:space="preserve">door scholen/besturen en lerarenopleidingen.  </w:t>
            </w:r>
          </w:p>
        </w:tc>
      </w:tr>
      <w:tr w:rsidR="005D2511" w:rsidTr="00110A23" w14:paraId="48D8EA8D" w14:textId="77777777">
        <w:trPr>
          <w:cnfStyle w:val="000000100000" w:firstRow="0" w:lastRow="0" w:firstColumn="0" w:lastColumn="0" w:oddVBand="0" w:evenVBand="0" w:oddHBand="1" w:evenHBand="0" w:firstRowFirstColumn="0" w:firstRowLastColumn="0" w:lastRowFirstColumn="0" w:lastRowLastColumn="0"/>
          <w:trHeight w:val="1977"/>
        </w:trPr>
        <w:tc>
          <w:tcPr>
            <w:cnfStyle w:val="001000000000" w:firstRow="0" w:lastRow="0" w:firstColumn="1" w:lastColumn="0" w:oddVBand="0" w:evenVBand="0" w:oddHBand="0" w:evenHBand="0" w:firstRowFirstColumn="0" w:firstRowLastColumn="0" w:lastRowFirstColumn="0" w:lastRowLastColumn="0"/>
            <w:tcW w:w="1326" w:type="pct"/>
            <w:vAlign w:val="center"/>
          </w:tcPr>
          <w:p w:rsidRPr="00C95AC9" w:rsidR="005D2511" w:rsidP="00110A23" w:rsidRDefault="00E21FFB" w14:paraId="6252F82A" w14:textId="572337AB">
            <w:r>
              <w:t xml:space="preserve">4. </w:t>
            </w:r>
            <w:proofErr w:type="spellStart"/>
            <w:r w:rsidRPr="00C95AC9" w:rsidR="005D2511">
              <w:t>Doeltreffendheid</w:t>
            </w:r>
            <w:proofErr w:type="spellEnd"/>
          </w:p>
        </w:tc>
        <w:tc>
          <w:tcPr>
            <w:tcW w:w="3674" w:type="pct"/>
            <w:shd w:val="clear" w:color="auto" w:fill="DBE5F1" w:themeFill="accent1" w:themeFillTint="33"/>
          </w:tcPr>
          <w:p w:rsidRPr="00E21FFB" w:rsidR="00E24015" w:rsidP="00301819" w:rsidRDefault="00817E03" w14:paraId="24075873" w14:textId="24E0FECF">
            <w:pPr>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Doeltreffendheid wordt geborgd door gerichte maatregelen in te zetten. Het grootste deel van het budget gaat naar het verhogen van het budget voor </w:t>
            </w:r>
            <w:proofErr w:type="spellStart"/>
            <w:r>
              <w:rPr>
                <w:lang w:val="nl-NL"/>
              </w:rPr>
              <w:t>zij-instroom</w:t>
            </w:r>
            <w:proofErr w:type="spellEnd"/>
            <w:r>
              <w:rPr>
                <w:lang w:val="nl-NL"/>
              </w:rPr>
              <w:t xml:space="preserve"> in het beroep. Deze regeling is </w:t>
            </w:r>
            <w:r w:rsidR="00274902">
              <w:rPr>
                <w:lang w:val="nl-NL"/>
              </w:rPr>
              <w:t xml:space="preserve">in </w:t>
            </w:r>
            <w:r>
              <w:rPr>
                <w:lang w:val="nl-NL"/>
              </w:rPr>
              <w:t xml:space="preserve">de beleidsdoorlichting leraren 2013-2020 </w:t>
            </w:r>
            <w:r w:rsidR="00274902">
              <w:rPr>
                <w:lang w:val="nl-NL"/>
              </w:rPr>
              <w:t xml:space="preserve">als </w:t>
            </w:r>
            <w:r>
              <w:rPr>
                <w:lang w:val="nl-NL"/>
              </w:rPr>
              <w:t xml:space="preserve">doeltreffend </w:t>
            </w:r>
            <w:r w:rsidR="00274902">
              <w:rPr>
                <w:lang w:val="nl-NL"/>
              </w:rPr>
              <w:t>benoemd.</w:t>
            </w:r>
            <w:r>
              <w:rPr>
                <w:lang w:val="nl-NL"/>
              </w:rPr>
              <w:t xml:space="preserve"> </w:t>
            </w:r>
          </w:p>
        </w:tc>
      </w:tr>
      <w:tr w:rsidR="005D2511" w:rsidTr="00110A23" w14:paraId="38BF4824" w14:textId="77777777">
        <w:trPr>
          <w:trHeight w:val="1599"/>
        </w:trPr>
        <w:tc>
          <w:tcPr>
            <w:cnfStyle w:val="001000000000" w:firstRow="0" w:lastRow="0" w:firstColumn="1" w:lastColumn="0" w:oddVBand="0" w:evenVBand="0" w:oddHBand="0" w:evenHBand="0" w:firstRowFirstColumn="0" w:firstRowLastColumn="0" w:lastRowFirstColumn="0" w:lastRowLastColumn="0"/>
            <w:tcW w:w="1326" w:type="pct"/>
            <w:vAlign w:val="center"/>
          </w:tcPr>
          <w:p w:rsidRPr="00C95AC9" w:rsidR="005D2511" w:rsidP="00110A23" w:rsidRDefault="00E21FFB" w14:paraId="44AAF498" w14:textId="3E7B9E6D">
            <w:r>
              <w:t xml:space="preserve">5. </w:t>
            </w:r>
            <w:proofErr w:type="spellStart"/>
            <w:r w:rsidRPr="00C95AC9" w:rsidR="005D2511">
              <w:t>Doelmatigheid</w:t>
            </w:r>
            <w:proofErr w:type="spellEnd"/>
          </w:p>
        </w:tc>
        <w:tc>
          <w:tcPr>
            <w:tcW w:w="3674" w:type="pct"/>
          </w:tcPr>
          <w:p w:rsidR="0078666D" w:rsidP="00E21FFB" w:rsidRDefault="00274902" w14:paraId="0D3E0115" w14:textId="5E46D2DF">
            <w:pPr>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Met de voorgestelde aanpak wordt de doelmatigheid </w:t>
            </w:r>
            <w:r w:rsidR="0078666D">
              <w:rPr>
                <w:lang w:val="nl-NL"/>
              </w:rPr>
              <w:t>van d</w:t>
            </w:r>
            <w:r>
              <w:rPr>
                <w:lang w:val="nl-NL"/>
              </w:rPr>
              <w:t>e huidige</w:t>
            </w:r>
            <w:r w:rsidR="0078666D">
              <w:rPr>
                <w:lang w:val="nl-NL"/>
              </w:rPr>
              <w:t xml:space="preserve">, versnipperde </w:t>
            </w:r>
            <w:r>
              <w:rPr>
                <w:lang w:val="nl-NL"/>
              </w:rPr>
              <w:t xml:space="preserve">aanpak van de tekorten </w:t>
            </w:r>
            <w:r w:rsidR="0078666D">
              <w:rPr>
                <w:lang w:val="nl-NL"/>
              </w:rPr>
              <w:t xml:space="preserve">vergroot. Dat kan door landelijk meer te sturen en partijen te stimuleren, ondersteunen maar ook aan te spreken op hun verantwoordelijkheden, door de versnipperde (regionale) aanpak te verbinden en door informatievoorziening en kennisdeling te intensiveren. </w:t>
            </w:r>
          </w:p>
          <w:p w:rsidRPr="00E21FFB" w:rsidR="00E24015" w:rsidP="00E21FFB" w:rsidRDefault="0078666D" w14:paraId="22B94601" w14:textId="7462CC21">
            <w:pPr>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 </w:t>
            </w:r>
          </w:p>
        </w:tc>
      </w:tr>
      <w:tr w:rsidR="005D2511" w:rsidTr="00110A23" w14:paraId="4A5EAC73" w14:textId="77777777">
        <w:trPr>
          <w:cnfStyle w:val="000000100000" w:firstRow="0" w:lastRow="0" w:firstColumn="0" w:lastColumn="0" w:oddVBand="0" w:evenVBand="0" w:oddHBand="1" w:evenHBand="0" w:firstRowFirstColumn="0" w:firstRowLastColumn="0" w:lastRowFirstColumn="0" w:lastRowLastColumn="0"/>
          <w:trHeight w:val="1645"/>
        </w:trPr>
        <w:tc>
          <w:tcPr>
            <w:cnfStyle w:val="001000000000" w:firstRow="0" w:lastRow="0" w:firstColumn="1" w:lastColumn="0" w:oddVBand="0" w:evenVBand="0" w:oddHBand="0" w:evenHBand="0" w:firstRowFirstColumn="0" w:firstRowLastColumn="0" w:lastRowFirstColumn="0" w:lastRowLastColumn="0"/>
            <w:tcW w:w="1326" w:type="pct"/>
            <w:vAlign w:val="center"/>
          </w:tcPr>
          <w:p w:rsidRPr="00E21FFB" w:rsidR="005D2511" w:rsidP="00110A23" w:rsidRDefault="005D2511" w14:paraId="1D3F5443" w14:textId="77777777">
            <w:pPr>
              <w:rPr>
                <w:lang w:val="nl-NL"/>
              </w:rPr>
            </w:pPr>
          </w:p>
          <w:p w:rsidRPr="00C95AC9" w:rsidR="005D2511" w:rsidP="00110A23" w:rsidRDefault="00E21FFB" w14:paraId="2190573F" w14:textId="0854F539">
            <w:r>
              <w:t xml:space="preserve">6. </w:t>
            </w:r>
            <w:proofErr w:type="spellStart"/>
            <w:r w:rsidRPr="00C95AC9" w:rsidR="005D2511">
              <w:t>Evaluatieparagraaf</w:t>
            </w:r>
            <w:proofErr w:type="spellEnd"/>
            <w:r w:rsidRPr="00C95AC9" w:rsidR="005D2511">
              <w:t xml:space="preserve"> (of </w:t>
            </w:r>
            <w:proofErr w:type="spellStart"/>
            <w:r w:rsidRPr="00C95AC9" w:rsidR="005D2511">
              <w:t>en</w:t>
            </w:r>
            <w:proofErr w:type="spellEnd"/>
            <w:r w:rsidRPr="00C95AC9" w:rsidR="005D2511">
              <w:t xml:space="preserve"> hoe)</w:t>
            </w:r>
          </w:p>
        </w:tc>
        <w:tc>
          <w:tcPr>
            <w:tcW w:w="3674" w:type="pct"/>
            <w:shd w:val="clear" w:color="auto" w:fill="DBE5F1" w:themeFill="accent1" w:themeFillTint="33"/>
          </w:tcPr>
          <w:p w:rsidR="00327D3D" w:rsidP="00E21FFB" w:rsidRDefault="00274902" w14:paraId="3BBCCD68" w14:textId="77777777">
            <w:pPr>
              <w:cnfStyle w:val="000000100000" w:firstRow="0" w:lastRow="0" w:firstColumn="0" w:lastColumn="0" w:oddVBand="0" w:evenVBand="0" w:oddHBand="1" w:evenHBand="0" w:firstRowFirstColumn="0" w:firstRowLastColumn="0" w:lastRowFirstColumn="0" w:lastRowLastColumn="0"/>
              <w:rPr>
                <w:lang w:val="nl-NL"/>
              </w:rPr>
            </w:pPr>
            <w:r w:rsidRPr="00274902">
              <w:rPr>
                <w:lang w:val="nl-NL"/>
              </w:rPr>
              <w:t>Zowel de effecten van d</w:t>
            </w:r>
            <w:r>
              <w:rPr>
                <w:lang w:val="nl-NL"/>
              </w:rPr>
              <w:t>e landelijke strategie als de ingezette maatregelen worden gemonitord en geëvalueerd.</w:t>
            </w:r>
          </w:p>
          <w:p w:rsidR="00327D3D" w:rsidP="00E21FFB" w:rsidRDefault="00327D3D" w14:paraId="2E43DC6C" w14:textId="77777777">
            <w:pPr>
              <w:cnfStyle w:val="000000100000" w:firstRow="0" w:lastRow="0" w:firstColumn="0" w:lastColumn="0" w:oddVBand="0" w:evenVBand="0" w:oddHBand="1" w:evenHBand="0" w:firstRowFirstColumn="0" w:firstRowLastColumn="0" w:lastRowFirstColumn="0" w:lastRowLastColumn="0"/>
              <w:rPr>
                <w:lang w:val="nl-NL"/>
              </w:rPr>
            </w:pPr>
          </w:p>
          <w:p w:rsidR="00910216" w:rsidP="00E21FFB" w:rsidRDefault="00327D3D" w14:paraId="7CFC2104" w14:textId="5AD3C540">
            <w:pPr>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Voor landelijke strategie wordt een werkplan opgesteld met doelen en mijlpalen. Op basis hiervan wordt ook de monitoring en evaluatie uitgewerkt. </w:t>
            </w:r>
            <w:r w:rsidR="00274902">
              <w:rPr>
                <w:lang w:val="nl-NL"/>
              </w:rPr>
              <w:t xml:space="preserve"> </w:t>
            </w:r>
          </w:p>
          <w:p w:rsidR="00910216" w:rsidP="00E21FFB" w:rsidRDefault="00910216" w14:paraId="6280C5AE" w14:textId="77777777">
            <w:pPr>
              <w:cnfStyle w:val="000000100000" w:firstRow="0" w:lastRow="0" w:firstColumn="0" w:lastColumn="0" w:oddVBand="0" w:evenVBand="0" w:oddHBand="1" w:evenHBand="0" w:firstRowFirstColumn="0" w:firstRowLastColumn="0" w:lastRowFirstColumn="0" w:lastRowLastColumn="0"/>
              <w:rPr>
                <w:lang w:val="nl-NL"/>
              </w:rPr>
            </w:pPr>
          </w:p>
          <w:p w:rsidRPr="00274902" w:rsidR="00E974EB" w:rsidP="00E21FFB" w:rsidRDefault="00274902" w14:paraId="6729D1B3" w14:textId="5BFBB5F8">
            <w:pPr>
              <w:cnfStyle w:val="000000100000" w:firstRow="0" w:lastRow="0" w:firstColumn="0" w:lastColumn="0" w:oddVBand="0" w:evenVBand="0" w:oddHBand="1" w:evenHBand="0" w:firstRowFirstColumn="0" w:firstRowLastColumn="0" w:lastRowFirstColumn="0" w:lastRowLastColumn="0"/>
              <w:rPr>
                <w:lang w:val="nl-NL"/>
              </w:rPr>
            </w:pPr>
            <w:r>
              <w:rPr>
                <w:lang w:val="nl-NL"/>
              </w:rPr>
              <w:t>Voor de (geïntensiveerde) subsidiemaatregelen geldt dat deze periodiek worden</w:t>
            </w:r>
            <w:r w:rsidR="00E92AE4">
              <w:rPr>
                <w:lang w:val="nl-NL"/>
              </w:rPr>
              <w:t xml:space="preserve"> geëvalueerd.</w:t>
            </w:r>
            <w:r>
              <w:rPr>
                <w:lang w:val="nl-NL"/>
              </w:rPr>
              <w:t xml:space="preserve"> </w:t>
            </w:r>
          </w:p>
        </w:tc>
      </w:tr>
    </w:tbl>
    <w:p w:rsidR="006371FE" w:rsidRDefault="006371FE" w14:paraId="2D0A8B40" w14:textId="77777777"/>
    <w:sectPr w:rsidR="006371FE" w:rsidSect="005D2511">
      <w:headerReference w:type="default" r:id="rId8"/>
      <w:footerReference w:type="default" r:id="rId9"/>
      <w:headerReference w:type="first" r:id="rId10"/>
      <w:footerReference w:type="first" r:id="rId11"/>
      <w:pgSz w:w="11906" w:h="16838" w:code="9"/>
      <w:pgMar w:top="3180" w:right="2818" w:bottom="1077" w:left="1588" w:header="2398" w:footer="62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953B" w14:textId="77777777" w:rsidR="005D2511" w:rsidRDefault="005D2511" w:rsidP="005D2511">
      <w:pPr>
        <w:spacing w:line="240" w:lineRule="auto"/>
      </w:pPr>
      <w:r>
        <w:separator/>
      </w:r>
    </w:p>
  </w:endnote>
  <w:endnote w:type="continuationSeparator" w:id="0">
    <w:p w14:paraId="7F8976E6" w14:textId="77777777" w:rsidR="005D2511" w:rsidRDefault="005D2511" w:rsidP="005D2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E0A6" w14:textId="77777777" w:rsidR="00137AC0" w:rsidRPr="00BC3B53" w:rsidRDefault="00C043FB"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14A0B" w14:paraId="6DCA9242" w14:textId="77777777" w:rsidTr="001E4C6B">
      <w:trPr>
        <w:trHeight w:hRule="exact" w:val="240"/>
      </w:trPr>
      <w:tc>
        <w:tcPr>
          <w:tcW w:w="7601" w:type="dxa"/>
          <w:shd w:val="clear" w:color="auto" w:fill="auto"/>
        </w:tcPr>
        <w:p w14:paraId="1A95284F" w14:textId="77777777" w:rsidR="00137AC0" w:rsidRDefault="00C043FB" w:rsidP="003F1F6B">
          <w:pPr>
            <w:pStyle w:val="Huisstijl-Rubricering"/>
          </w:pPr>
        </w:p>
      </w:tc>
      <w:tc>
        <w:tcPr>
          <w:tcW w:w="2156" w:type="dxa"/>
        </w:tcPr>
        <w:p w14:paraId="673816AB" w14:textId="4518FE41" w:rsidR="00137AC0" w:rsidRPr="00236CFE" w:rsidRDefault="00EF4C9D"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301819">
            <w:t>2</w:t>
          </w:r>
          <w:r w:rsidRPr="00CB7ABA">
            <w:fldChar w:fldCharType="end"/>
          </w:r>
          <w:r w:rsidRPr="00CB7ABA">
            <w:t xml:space="preserve"> van </w:t>
          </w:r>
          <w:fldSimple w:instr=" SECTIONPAGES   \* MERGEFORMAT ">
            <w:r w:rsidR="00C043FB">
              <w:t>2</w:t>
            </w:r>
          </w:fldSimple>
        </w:p>
      </w:tc>
    </w:tr>
  </w:tbl>
  <w:p w14:paraId="0F59DCA6" w14:textId="77777777" w:rsidR="00137AC0" w:rsidRPr="00BC3B53" w:rsidRDefault="00C043FB"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614A0B" w14:paraId="425391AC" w14:textId="77777777" w:rsidTr="00301C26">
      <w:trPr>
        <w:trHeight w:hRule="exact" w:val="240"/>
      </w:trPr>
      <w:tc>
        <w:tcPr>
          <w:tcW w:w="7713" w:type="dxa"/>
          <w:shd w:val="clear" w:color="auto" w:fill="auto"/>
        </w:tcPr>
        <w:p w14:paraId="03AD3FE5" w14:textId="77777777" w:rsidR="00137AC0" w:rsidRDefault="00C043FB" w:rsidP="008C356D">
          <w:pPr>
            <w:pStyle w:val="Huisstijl-Rubricering"/>
          </w:pPr>
        </w:p>
      </w:tc>
      <w:tc>
        <w:tcPr>
          <w:tcW w:w="2058" w:type="dxa"/>
        </w:tcPr>
        <w:p w14:paraId="2878EE1D" w14:textId="28C8C512" w:rsidR="00137AC0" w:rsidRPr="00CB7ABA" w:rsidRDefault="00EF4C9D"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301819">
            <w:t>1</w:t>
          </w:r>
          <w:r w:rsidRPr="00CB7ABA">
            <w:fldChar w:fldCharType="end"/>
          </w:r>
          <w:r w:rsidRPr="00CB7ABA">
            <w:t xml:space="preserve"> van</w:t>
          </w:r>
          <w:r w:rsidRPr="00CB7ABA">
            <w:rPr>
              <w:rStyle w:val="Huisstijl-GegevenCharChar"/>
            </w:rPr>
            <w:t xml:space="preserve"> </w:t>
          </w:r>
          <w:fldSimple w:instr=" SECTIONPAGES   \* MERGEFORMAT ">
            <w:r w:rsidR="00C043FB">
              <w:t>2</w:t>
            </w:r>
          </w:fldSimple>
        </w:p>
      </w:tc>
    </w:tr>
  </w:tbl>
  <w:p w14:paraId="1B0843BC" w14:textId="77777777" w:rsidR="00137AC0" w:rsidRPr="00BC3B53" w:rsidRDefault="00C043FB" w:rsidP="008C356D">
    <w:pPr>
      <w:pStyle w:val="Voettekst"/>
      <w:spacing w:line="240" w:lineRule="auto"/>
      <w:rPr>
        <w:sz w:val="2"/>
        <w:szCs w:val="2"/>
      </w:rPr>
    </w:pPr>
  </w:p>
  <w:p w14:paraId="271B4B61" w14:textId="77777777" w:rsidR="00137AC0" w:rsidRPr="00BC3B53" w:rsidRDefault="00C043FB"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D711" w14:textId="77777777" w:rsidR="005D2511" w:rsidRDefault="005D2511" w:rsidP="005D2511">
      <w:pPr>
        <w:spacing w:line="240" w:lineRule="auto"/>
      </w:pPr>
      <w:r>
        <w:separator/>
      </w:r>
    </w:p>
  </w:footnote>
  <w:footnote w:type="continuationSeparator" w:id="0">
    <w:p w14:paraId="4E08E273" w14:textId="77777777" w:rsidR="005D2511" w:rsidRDefault="005D2511" w:rsidP="005D25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5A91" w14:textId="77777777" w:rsidR="00137AC0" w:rsidRDefault="00C043FB"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14A0B" w14:paraId="5C8E4D00" w14:textId="77777777" w:rsidTr="005558E0">
      <w:tc>
        <w:tcPr>
          <w:tcW w:w="2160" w:type="dxa"/>
          <w:shd w:val="clear" w:color="auto" w:fill="auto"/>
        </w:tcPr>
        <w:p w14:paraId="41FB30DC" w14:textId="77777777" w:rsidR="00137AC0" w:rsidRPr="00044613" w:rsidRDefault="00C043FB" w:rsidP="005558E0">
          <w:pPr>
            <w:pStyle w:val="Huisstijl-Adres"/>
          </w:pPr>
        </w:p>
      </w:tc>
    </w:tr>
    <w:tr w:rsidR="00614A0B" w14:paraId="04D23195" w14:textId="77777777" w:rsidTr="005558E0">
      <w:trPr>
        <w:trHeight w:hRule="exact" w:val="200"/>
      </w:trPr>
      <w:tc>
        <w:tcPr>
          <w:tcW w:w="2160" w:type="dxa"/>
          <w:shd w:val="clear" w:color="auto" w:fill="auto"/>
        </w:tcPr>
        <w:p w14:paraId="5A2CD41D" w14:textId="77777777" w:rsidR="00137AC0" w:rsidRPr="005819CE" w:rsidRDefault="00C043FB" w:rsidP="005558E0"/>
      </w:tc>
    </w:tr>
    <w:tr w:rsidR="00614A0B" w14:paraId="26CF3E80" w14:textId="77777777" w:rsidTr="005558E0">
      <w:tc>
        <w:tcPr>
          <w:tcW w:w="2160" w:type="dxa"/>
          <w:shd w:val="clear" w:color="auto" w:fill="auto"/>
        </w:tcPr>
        <w:p w14:paraId="0EC4DAD4" w14:textId="77777777" w:rsidR="00137AC0" w:rsidRDefault="00EF4C9D" w:rsidP="00C54BBB">
          <w:pPr>
            <w:spacing w:line="180" w:lineRule="exact"/>
            <w:rPr>
              <w:b/>
              <w:sz w:val="13"/>
              <w:szCs w:val="13"/>
            </w:rPr>
          </w:pPr>
          <w:r>
            <w:rPr>
              <w:b/>
              <w:sz w:val="13"/>
              <w:szCs w:val="13"/>
            </w:rPr>
            <w:t>Datum</w:t>
          </w:r>
        </w:p>
        <w:p w14:paraId="310BA53F" w14:textId="77777777" w:rsidR="00C54BBB" w:rsidRPr="00C54BBB" w:rsidRDefault="00EF4C9D" w:rsidP="00C54BBB">
          <w:pPr>
            <w:spacing w:after="92" w:line="180" w:lineRule="exact"/>
            <w:rPr>
              <w:sz w:val="13"/>
              <w:szCs w:val="13"/>
            </w:rPr>
          </w:pPr>
          <w:r>
            <w:rPr>
              <w:sz w:val="13"/>
              <w:szCs w:val="13"/>
            </w:rPr>
            <w:t>September 2020</w:t>
          </w:r>
        </w:p>
      </w:tc>
    </w:tr>
  </w:tbl>
  <w:p w14:paraId="779D7B74" w14:textId="77777777" w:rsidR="007A3F7B" w:rsidRPr="007A3F7B" w:rsidRDefault="00C043F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614A0B" w14:paraId="6B384DE2" w14:textId="77777777" w:rsidTr="009D5D50">
      <w:trPr>
        <w:trHeight w:hRule="exact" w:val="400"/>
      </w:trPr>
      <w:tc>
        <w:tcPr>
          <w:tcW w:w="7520" w:type="dxa"/>
          <w:shd w:val="clear" w:color="auto" w:fill="auto"/>
        </w:tcPr>
        <w:p w14:paraId="6F9611DD" w14:textId="77777777" w:rsidR="00137AC0" w:rsidRPr="00275984" w:rsidRDefault="00C043FB" w:rsidP="009D5D50">
          <w:pPr>
            <w:spacing w:line="240" w:lineRule="auto"/>
            <w:rPr>
              <w:sz w:val="12"/>
              <w:szCs w:val="12"/>
            </w:rPr>
          </w:pPr>
        </w:p>
      </w:tc>
    </w:tr>
  </w:tbl>
  <w:p w14:paraId="6A10C804" w14:textId="77777777" w:rsidR="00137AC0" w:rsidRPr="00740712" w:rsidRDefault="00C043FB" w:rsidP="004F44C2"/>
  <w:p w14:paraId="20D63778" w14:textId="77777777" w:rsidR="00137AC0" w:rsidRPr="00217880" w:rsidRDefault="00C043FB"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9A73" w14:textId="77777777" w:rsidR="00137AC0" w:rsidRDefault="00EF4C9D">
    <w:pPr>
      <w:framePr w:w="737" w:h="2104" w:hRule="exact" w:wrap="around" w:vAnchor="page" w:hAnchor="page" w:x="5586" w:y="1" w:anchorLock="1"/>
    </w:pPr>
    <w:r>
      <w:rPr>
        <w:noProof/>
      </w:rPr>
      <w:drawing>
        <wp:inline distT="0" distB="0" distL="0" distR="0" wp14:anchorId="54AC253A" wp14:editId="6B1D0AD1">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668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4771ECF1" w14:textId="77777777" w:rsidR="00483ECA" w:rsidRDefault="00EF4C9D" w:rsidP="00D037A9">
    <w:pPr>
      <w:framePr w:w="3873" w:h="2625" w:hRule="exact" w:wrap="around" w:vAnchor="page" w:hAnchor="page" w:x="6323" w:y="1"/>
    </w:pPr>
    <w:r>
      <w:rPr>
        <w:noProof/>
      </w:rPr>
      <w:drawing>
        <wp:inline distT="0" distB="0" distL="0" distR="0" wp14:anchorId="5434F194" wp14:editId="0E24AC23">
          <wp:extent cx="2447925" cy="1657350"/>
          <wp:effectExtent l="0" t="0" r="0" b="0"/>
          <wp:docPr id="126291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1616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89BB81B" w14:textId="77777777" w:rsidR="00137AC0" w:rsidRDefault="00C043FB" w:rsidP="00044613">
    <w:pPr>
      <w:pStyle w:val="Koptekst"/>
    </w:pPr>
  </w:p>
  <w:p w14:paraId="08F2ECDB" w14:textId="77777777" w:rsidR="00570965" w:rsidRDefault="00C043FB" w:rsidP="00044613">
    <w:pPr>
      <w:pStyle w:val="Koptekst"/>
    </w:pPr>
  </w:p>
  <w:p w14:paraId="6A754993" w14:textId="77777777" w:rsidR="00C30273" w:rsidRDefault="00C043FB" w:rsidP="00044613">
    <w:pPr>
      <w:pStyle w:val="Koptekst"/>
    </w:pPr>
  </w:p>
  <w:p w14:paraId="30947933" w14:textId="77777777" w:rsidR="00C30273" w:rsidRPr="00BC4AE3" w:rsidRDefault="00C043FB"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EEB"/>
    <w:multiLevelType w:val="hybridMultilevel"/>
    <w:tmpl w:val="3D569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11"/>
    <w:rsid w:val="00161133"/>
    <w:rsid w:val="001A77C9"/>
    <w:rsid w:val="002076FC"/>
    <w:rsid w:val="00274902"/>
    <w:rsid w:val="00301819"/>
    <w:rsid w:val="00320989"/>
    <w:rsid w:val="00327D3D"/>
    <w:rsid w:val="003371F3"/>
    <w:rsid w:val="005231F2"/>
    <w:rsid w:val="00556AE0"/>
    <w:rsid w:val="00583DB6"/>
    <w:rsid w:val="00585126"/>
    <w:rsid w:val="005D2511"/>
    <w:rsid w:val="006371FE"/>
    <w:rsid w:val="006A6E6D"/>
    <w:rsid w:val="0078666D"/>
    <w:rsid w:val="00817E03"/>
    <w:rsid w:val="00910216"/>
    <w:rsid w:val="009E1444"/>
    <w:rsid w:val="009F750B"/>
    <w:rsid w:val="00A82C92"/>
    <w:rsid w:val="00B76E64"/>
    <w:rsid w:val="00C043FB"/>
    <w:rsid w:val="00C90A31"/>
    <w:rsid w:val="00C92457"/>
    <w:rsid w:val="00E21FFB"/>
    <w:rsid w:val="00E24015"/>
    <w:rsid w:val="00E92AE4"/>
    <w:rsid w:val="00E974EB"/>
    <w:rsid w:val="00EF4C9D"/>
    <w:rsid w:val="00FB6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281A"/>
  <w15:docId w15:val="{6D927DEB-15E5-464F-9FF1-13F01678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2511"/>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Koptekst">
    <w:name w:val="header"/>
    <w:basedOn w:val="Standaard"/>
    <w:link w:val="KoptekstChar"/>
    <w:rsid w:val="005D2511"/>
    <w:pPr>
      <w:tabs>
        <w:tab w:val="center" w:pos="4536"/>
        <w:tab w:val="right" w:pos="9072"/>
      </w:tabs>
    </w:pPr>
  </w:style>
  <w:style w:type="character" w:customStyle="1" w:styleId="KoptekstChar">
    <w:name w:val="Koptekst Char"/>
    <w:basedOn w:val="Standaardalinea-lettertype"/>
    <w:link w:val="Koptekst"/>
    <w:rsid w:val="005D2511"/>
    <w:rPr>
      <w:rFonts w:ascii="Verdana" w:hAnsi="Verdana" w:cs="Times New Roman"/>
      <w:sz w:val="18"/>
      <w:szCs w:val="24"/>
      <w:lang w:eastAsia="nl-NL"/>
    </w:rPr>
  </w:style>
  <w:style w:type="paragraph" w:styleId="Voettekst">
    <w:name w:val="footer"/>
    <w:basedOn w:val="Standaard"/>
    <w:link w:val="VoettekstChar"/>
    <w:rsid w:val="005D2511"/>
    <w:pPr>
      <w:tabs>
        <w:tab w:val="center" w:pos="4536"/>
        <w:tab w:val="right" w:pos="9072"/>
      </w:tabs>
    </w:pPr>
  </w:style>
  <w:style w:type="character" w:customStyle="1" w:styleId="VoettekstChar">
    <w:name w:val="Voettekst Char"/>
    <w:basedOn w:val="Standaardalinea-lettertype"/>
    <w:link w:val="Voettekst"/>
    <w:rsid w:val="005D2511"/>
    <w:rPr>
      <w:rFonts w:ascii="Verdana" w:hAnsi="Verdana" w:cs="Times New Roman"/>
      <w:sz w:val="18"/>
      <w:szCs w:val="24"/>
      <w:lang w:eastAsia="nl-NL"/>
    </w:rPr>
  </w:style>
  <w:style w:type="paragraph" w:customStyle="1" w:styleId="Huisstijl-Adres">
    <w:name w:val="Huisstijl-Adres"/>
    <w:basedOn w:val="Standaard"/>
    <w:link w:val="Huisstijl-AdresChar"/>
    <w:rsid w:val="005D2511"/>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5D2511"/>
    <w:rPr>
      <w:rFonts w:ascii="Verdana" w:hAnsi="Verdana"/>
      <w:noProof/>
      <w:sz w:val="13"/>
      <w:szCs w:val="24"/>
      <w:lang w:eastAsia="nl-NL"/>
    </w:rPr>
  </w:style>
  <w:style w:type="paragraph" w:customStyle="1" w:styleId="Huisstijl-Gegeven">
    <w:name w:val="Huisstijl-Gegeven"/>
    <w:basedOn w:val="Standaard"/>
    <w:link w:val="Huisstijl-GegevenCharChar"/>
    <w:rsid w:val="005D2511"/>
    <w:pPr>
      <w:spacing w:after="92" w:line="180" w:lineRule="exact"/>
    </w:pPr>
    <w:rPr>
      <w:rFonts w:cstheme="minorBidi"/>
      <w:noProof/>
      <w:sz w:val="13"/>
    </w:rPr>
  </w:style>
  <w:style w:type="paragraph" w:customStyle="1" w:styleId="Huisstijl-Rubricering">
    <w:name w:val="Huisstijl-Rubricering"/>
    <w:basedOn w:val="Standaard"/>
    <w:rsid w:val="005D2511"/>
    <w:pPr>
      <w:adjustRightInd w:val="0"/>
      <w:spacing w:line="180" w:lineRule="exact"/>
    </w:pPr>
    <w:rPr>
      <w:rFonts w:cs="Verdana-Bold"/>
      <w:b/>
      <w:bCs/>
      <w:smallCaps/>
      <w:noProof/>
      <w:sz w:val="13"/>
      <w:szCs w:val="13"/>
    </w:rPr>
  </w:style>
  <w:style w:type="paragraph" w:customStyle="1" w:styleId="Huisstijl-Paginanummering">
    <w:name w:val="Huisstijl-Paginanummering"/>
    <w:basedOn w:val="Standaard"/>
    <w:rsid w:val="005D2511"/>
    <w:pPr>
      <w:spacing w:line="180" w:lineRule="exact"/>
    </w:pPr>
    <w:rPr>
      <w:noProof/>
      <w:sz w:val="13"/>
    </w:rPr>
  </w:style>
  <w:style w:type="character" w:customStyle="1" w:styleId="Huisstijl-AdresChar">
    <w:name w:val="Huisstijl-Adres Char"/>
    <w:link w:val="Huisstijl-Adres"/>
    <w:locked/>
    <w:rsid w:val="005D2511"/>
    <w:rPr>
      <w:rFonts w:ascii="Verdana" w:hAnsi="Verdana" w:cs="Verdana"/>
      <w:noProof/>
      <w:sz w:val="13"/>
      <w:szCs w:val="13"/>
      <w:lang w:eastAsia="nl-NL"/>
    </w:rPr>
  </w:style>
  <w:style w:type="paragraph" w:styleId="Voetnoottekst">
    <w:name w:val="footnote text"/>
    <w:basedOn w:val="Standaard"/>
    <w:link w:val="VoetnoottekstChar"/>
    <w:uiPriority w:val="99"/>
    <w:semiHidden/>
    <w:rsid w:val="005D2511"/>
    <w:rPr>
      <w:sz w:val="13"/>
      <w:szCs w:val="20"/>
    </w:rPr>
  </w:style>
  <w:style w:type="character" w:customStyle="1" w:styleId="VoetnoottekstChar">
    <w:name w:val="Voetnoottekst Char"/>
    <w:basedOn w:val="Standaardalinea-lettertype"/>
    <w:link w:val="Voetnoottekst"/>
    <w:uiPriority w:val="99"/>
    <w:semiHidden/>
    <w:rsid w:val="005D2511"/>
    <w:rPr>
      <w:rFonts w:ascii="Verdana" w:hAnsi="Verdana" w:cs="Times New Roman"/>
      <w:sz w:val="13"/>
      <w:szCs w:val="20"/>
      <w:lang w:eastAsia="nl-NL"/>
    </w:rPr>
  </w:style>
  <w:style w:type="character" w:styleId="Voetnootmarkering">
    <w:name w:val="footnote reference"/>
    <w:basedOn w:val="Standaardalinea-lettertype"/>
    <w:uiPriority w:val="99"/>
    <w:unhideWhenUsed/>
    <w:rsid w:val="005D2511"/>
    <w:rPr>
      <w:vertAlign w:val="superscript"/>
    </w:rPr>
  </w:style>
  <w:style w:type="table" w:customStyle="1" w:styleId="Rastertabel5donker-Accent11">
    <w:name w:val="Rastertabel 5 donker - Accent 11"/>
    <w:basedOn w:val="Standaardtabel"/>
    <w:uiPriority w:val="50"/>
    <w:rsid w:val="005D2511"/>
    <w:pPr>
      <w:spacing w:after="0" w:line="240" w:lineRule="auto"/>
    </w:pPr>
    <w:rPr>
      <w:rFonts w:ascii="Verdana" w:eastAsiaTheme="minorHAnsi" w:hAnsi="Verdana"/>
      <w:sz w:val="18"/>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lontekst">
    <w:name w:val="Balloon Text"/>
    <w:basedOn w:val="Standaard"/>
    <w:link w:val="BallontekstChar"/>
    <w:uiPriority w:val="99"/>
    <w:semiHidden/>
    <w:unhideWhenUsed/>
    <w:rsid w:val="005D251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511"/>
    <w:rPr>
      <w:rFonts w:ascii="Tahoma" w:hAnsi="Tahoma" w:cs="Tahoma"/>
      <w:sz w:val="16"/>
      <w:szCs w:val="16"/>
      <w:lang w:eastAsia="nl-NL"/>
    </w:rPr>
  </w:style>
  <w:style w:type="paragraph" w:styleId="Geenafstand">
    <w:name w:val="No Spacing"/>
    <w:uiPriority w:val="1"/>
    <w:qFormat/>
    <w:rsid w:val="00301819"/>
    <w:pPr>
      <w:spacing w:after="0" w:line="240" w:lineRule="auto"/>
    </w:pPr>
    <w:rPr>
      <w:rFonts w:ascii="Verdana" w:hAnsi="Verdana" w:cs="Times New Roman"/>
      <w:sz w:val="18"/>
      <w:szCs w:val="24"/>
      <w:lang w:eastAsia="nl-NL"/>
    </w:rPr>
  </w:style>
  <w:style w:type="paragraph" w:styleId="Lijstalinea">
    <w:name w:val="List Paragraph"/>
    <w:basedOn w:val="Standaard"/>
    <w:uiPriority w:val="34"/>
    <w:qFormat/>
    <w:rsid w:val="00E21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611</ap:Words>
  <ap:Characters>3366</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2022-07-01T13:08:00.0000000Z</dcterms:created>
  <dcterms:modified xsi:type="dcterms:W3CDTF">2022-07-01T13:08:00.0000000Z</dcterms:modified>
  <dc:description>------------------------</dc:description>
  <dc:subject/>
  <dc:title/>
  <keywords/>
  <version/>
  <category/>
</coreProperties>
</file>